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A4E" w14:textId="04FDDA82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66651E">
        <w:rPr>
          <w:rFonts w:eastAsia="Times New Roman"/>
          <w:bCs/>
          <w:sz w:val="24"/>
          <w:szCs w:val="24"/>
          <w:lang w:eastAsia="ja-JP"/>
        </w:rPr>
        <w:t>7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6E49D9" w:rsidRPr="006E49D9">
        <w:rPr>
          <w:rFonts w:eastAsia="Times New Roman"/>
          <w:bCs/>
          <w:sz w:val="24"/>
          <w:szCs w:val="24"/>
          <w:lang w:eastAsia="ja-JP"/>
        </w:rPr>
        <w:t>R2-2202879</w:t>
      </w:r>
      <w:r w:rsidR="006E49D9" w:rsidRPr="006E49D9">
        <w:rPr>
          <w:rFonts w:eastAsia="Times New Roman"/>
          <w:bCs/>
          <w:sz w:val="24"/>
          <w:szCs w:val="24"/>
          <w:lang w:eastAsia="ja-JP"/>
        </w:rPr>
        <w:t xml:space="preserve"> </w:t>
      </w:r>
    </w:p>
    <w:p w14:paraId="4CB31B84" w14:textId="64BD11EE" w:rsidR="00E51E9F" w:rsidRDefault="00DE3BE3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95209784"/>
      <w:r w:rsidRPr="00DE3BE3">
        <w:rPr>
          <w:rFonts w:ascii="Arial" w:eastAsia="Times New Roman" w:hAnsi="Arial"/>
          <w:bCs/>
          <w:noProof/>
          <w:szCs w:val="24"/>
          <w:lang w:eastAsia="ja-JP"/>
        </w:rPr>
        <w:t>eMeeting, 21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February - 3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rd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March, 2022</w:t>
      </w:r>
      <w:bookmarkEnd w:id="1"/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5A001F77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3F59AE">
        <w:rPr>
          <w:rFonts w:ascii="Arial" w:hAnsi="Arial" w:cs="Arial"/>
          <w:szCs w:val="24"/>
          <w:lang w:val="sv-SE"/>
        </w:rPr>
        <w:t>8.22.</w:t>
      </w:r>
      <w:r w:rsidR="00650057">
        <w:rPr>
          <w:rFonts w:ascii="Arial" w:hAnsi="Arial" w:cs="Arial"/>
          <w:szCs w:val="24"/>
          <w:lang w:val="sv-SE"/>
        </w:rPr>
        <w:t>4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7B264672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3F59AE">
        <w:rPr>
          <w:b/>
          <w:sz w:val="24"/>
        </w:rPr>
        <w:t xml:space="preserve">Discussion on </w:t>
      </w:r>
      <w:r w:rsidR="00650057">
        <w:rPr>
          <w:b/>
          <w:sz w:val="24"/>
        </w:rPr>
        <w:t>UE capabilities of MGE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E20B82B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the </w:t>
      </w:r>
      <w:r w:rsidR="003F59AE">
        <w:t>contribution, we discuss</w:t>
      </w:r>
      <w:r w:rsidR="00217A71">
        <w:t xml:space="preserve"> the</w:t>
      </w:r>
      <w:r w:rsidR="00415145">
        <w:t xml:space="preserve"> UE </w:t>
      </w:r>
      <w:r w:rsidR="00217A71">
        <w:t>capability</w:t>
      </w:r>
      <w:r w:rsidR="00415145">
        <w:t xml:space="preserve"> for MGE</w:t>
      </w:r>
      <w:r w:rsidR="00217A71">
        <w:t>.</w:t>
      </w:r>
    </w:p>
    <w:p w14:paraId="3009BDE9" w14:textId="77777777" w:rsidR="003F59AE" w:rsidRPr="003F59AE" w:rsidRDefault="003F59AE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32E77A33" w14:textId="198B9236" w:rsidR="0004201C" w:rsidRPr="00B94288" w:rsidRDefault="0004201C" w:rsidP="0004201C">
      <w:pPr>
        <w:pStyle w:val="Heading2"/>
        <w:rPr>
          <w:lang w:val="en-US" w:eastAsia="ko-KR"/>
        </w:rPr>
      </w:pPr>
      <w:r>
        <w:rPr>
          <w:lang w:val="en-US" w:eastAsia="ko-KR"/>
        </w:rPr>
        <w:t>2.1 Pre-configured MG</w:t>
      </w:r>
    </w:p>
    <w:p w14:paraId="600EEF25" w14:textId="5FE457C1" w:rsidR="00766876" w:rsidRDefault="0025431C" w:rsidP="00766876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F</w:t>
      </w:r>
      <w:r>
        <w:rPr>
          <w:rFonts w:ascii="Arial" w:hAnsi="Arial" w:cs="Arial"/>
          <w:lang w:val="en-US" w:eastAsia="ko-KR"/>
        </w:rPr>
        <w:t xml:space="preserve">or pre-configured MG, RAN4 has not provided the corresponding capability in feature table [1]. </w:t>
      </w:r>
      <w:r w:rsidR="00175B3D">
        <w:rPr>
          <w:rFonts w:ascii="Arial" w:hAnsi="Arial" w:cs="Arial"/>
          <w:lang w:val="en-US" w:eastAsia="ko-KR"/>
        </w:rPr>
        <w:t>However, in the incoming LS on pre-configured MG [2], RAN4 has informed RAN2 that separate capability is needed for the two controlling mechanism of pre-configured MG.</w:t>
      </w:r>
    </w:p>
    <w:p w14:paraId="5E9FA6E1" w14:textId="77777777" w:rsidR="00DD0F3F" w:rsidRDefault="00DD0F3F" w:rsidP="00DD0F3F">
      <w:pPr>
        <w:spacing w:after="0"/>
        <w:rPr>
          <w:rFonts w:ascii="Arial" w:hAnsi="Arial" w:cs="Arial"/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D0F3F" w14:paraId="688C1626" w14:textId="77777777" w:rsidTr="004247FE">
        <w:tc>
          <w:tcPr>
            <w:tcW w:w="9857" w:type="dxa"/>
          </w:tcPr>
          <w:p w14:paraId="2DD1E6B2" w14:textId="77777777" w:rsidR="00DD0F3F" w:rsidRPr="007E7395" w:rsidRDefault="00DD0F3F" w:rsidP="004247FE">
            <w:pPr>
              <w:pStyle w:val="ListParagraph"/>
              <w:widowControl w:val="0"/>
              <w:numPr>
                <w:ilvl w:val="0"/>
                <w:numId w:val="48"/>
              </w:numPr>
              <w:spacing w:before="80" w:line="360" w:lineRule="auto"/>
              <w:jc w:val="both"/>
              <w:rPr>
                <w:rFonts w:eastAsiaTheme="minorEastAsia"/>
              </w:rPr>
            </w:pPr>
            <w:bookmarkStart w:id="3" w:name="_Hlk95682654"/>
            <w:r w:rsidRPr="00E41EB2">
              <w:rPr>
                <w:rFonts w:eastAsiaTheme="minorEastAsia"/>
              </w:rPr>
              <w:t>Defin</w:t>
            </w:r>
            <w:r w:rsidRPr="000C4657">
              <w:rPr>
                <w:rFonts w:eastAsiaTheme="minorEastAsia"/>
              </w:rPr>
              <w:t xml:space="preserve">e </w:t>
            </w:r>
            <w:r w:rsidRPr="00DD0F3F">
              <w:rPr>
                <w:rFonts w:eastAsiaTheme="minorEastAsia"/>
                <w:highlight w:val="yellow"/>
              </w:rPr>
              <w:t>separate UE capabilities for different pre-MG activation/deactivation mechanisms</w:t>
            </w:r>
            <w:r w:rsidRPr="00E41EB2">
              <w:rPr>
                <w:rFonts w:eastAsiaTheme="minorEastAsia"/>
              </w:rPr>
              <w:t xml:space="preserve"> (i.e. NW-Controlled activation/deactivation mechanism and UE autonomous activation/deactivation mechanism).</w:t>
            </w:r>
            <w:r>
              <w:rPr>
                <w:rFonts w:eastAsiaTheme="minorEastAsia" w:hint="eastAsia"/>
              </w:rPr>
              <w:t xml:space="preserve"> </w:t>
            </w:r>
          </w:p>
        </w:tc>
      </w:tr>
      <w:bookmarkEnd w:id="3"/>
    </w:tbl>
    <w:p w14:paraId="613AA7B0" w14:textId="560783CB" w:rsidR="00DD0F3F" w:rsidRDefault="00DD0F3F" w:rsidP="00DD0F3F">
      <w:pPr>
        <w:spacing w:after="0"/>
        <w:rPr>
          <w:rFonts w:ascii="Arial" w:hAnsi="Arial" w:cs="Arial"/>
          <w:lang w:val="en-US" w:eastAsia="ko-KR"/>
        </w:rPr>
      </w:pPr>
    </w:p>
    <w:p w14:paraId="7957E62C" w14:textId="26E28688" w:rsidR="00175B3D" w:rsidRDefault="00175B3D" w:rsidP="00DD0F3F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I</w:t>
      </w:r>
      <w:r>
        <w:rPr>
          <w:rFonts w:ascii="Arial" w:hAnsi="Arial" w:cs="Arial"/>
          <w:lang w:val="en-US" w:eastAsia="ko-KR"/>
        </w:rPr>
        <w:t>n our view, we think that the two capabilities should be optional per UE capabilities.</w:t>
      </w:r>
    </w:p>
    <w:p w14:paraId="1ECA6ECE" w14:textId="77777777" w:rsidR="00175B3D" w:rsidRDefault="00175B3D" w:rsidP="00DD0F3F">
      <w:pPr>
        <w:spacing w:after="0"/>
        <w:rPr>
          <w:rFonts w:ascii="Arial" w:hAnsi="Arial" w:cs="Arial"/>
          <w:lang w:val="en-US" w:eastAsia="ko-KR"/>
        </w:rPr>
      </w:pPr>
    </w:p>
    <w:p w14:paraId="43721694" w14:textId="412A8C9B" w:rsidR="006B6E20" w:rsidRPr="00F41B52" w:rsidRDefault="006B6E20" w:rsidP="006B6E20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 w:rsidR="00D22B19">
        <w:rPr>
          <w:rFonts w:cs="Arial"/>
          <w:b/>
        </w:rPr>
        <w:t>1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 xml:space="preserve">duce </w:t>
      </w:r>
      <w:r w:rsidR="00D87CCC">
        <w:rPr>
          <w:rFonts w:cs="Arial"/>
          <w:b/>
        </w:rPr>
        <w:t xml:space="preserve">two optional per UE capability for pre-configured MG. </w:t>
      </w:r>
      <w:r w:rsidR="00D22B19">
        <w:rPr>
          <w:rFonts w:cs="Arial"/>
          <w:b/>
        </w:rPr>
        <w:t xml:space="preserve">One for pre-configured MG with </w:t>
      </w:r>
      <w:r w:rsidR="00DD0F3F" w:rsidRPr="00DD0F3F">
        <w:rPr>
          <w:rFonts w:cs="Arial"/>
          <w:b/>
        </w:rPr>
        <w:t>NW-Controlled activation/deactivation mechanism</w:t>
      </w:r>
      <w:r w:rsidR="00DD0F3F">
        <w:rPr>
          <w:rFonts w:cs="Arial"/>
          <w:b/>
        </w:rPr>
        <w:t xml:space="preserve">. The other for pre-configured MG with </w:t>
      </w:r>
      <w:r w:rsidR="00DD0F3F" w:rsidRPr="00DD0F3F">
        <w:rPr>
          <w:rFonts w:cs="Arial"/>
          <w:b/>
        </w:rPr>
        <w:t>UE autonomous activation/deactivation mechanism</w:t>
      </w:r>
      <w:r w:rsidR="00DD0F3F">
        <w:rPr>
          <w:rFonts w:cs="Arial"/>
          <w:b/>
        </w:rPr>
        <w:t>.</w:t>
      </w:r>
    </w:p>
    <w:p w14:paraId="1FB20FF2" w14:textId="0D1A87C4" w:rsidR="0004201C" w:rsidRPr="006B6E20" w:rsidRDefault="0004201C" w:rsidP="00766876">
      <w:pPr>
        <w:spacing w:after="0"/>
        <w:rPr>
          <w:rFonts w:ascii="Arial" w:hAnsi="Arial" w:cs="Arial"/>
          <w:lang w:val="en-US" w:eastAsia="ko-KR"/>
        </w:rPr>
      </w:pPr>
    </w:p>
    <w:p w14:paraId="0E042334" w14:textId="642AA92E" w:rsidR="0004201C" w:rsidRPr="00B94288" w:rsidRDefault="0004201C" w:rsidP="0004201C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2.2 </w:t>
      </w:r>
      <w:r w:rsidR="000E632E">
        <w:rPr>
          <w:lang w:val="en-US" w:eastAsia="ko-KR"/>
        </w:rPr>
        <w:t>Concurrent MG</w:t>
      </w:r>
    </w:p>
    <w:p w14:paraId="387A84FF" w14:textId="19784E7D" w:rsidR="00D22B19" w:rsidRDefault="00D22B19" w:rsidP="00766876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F</w:t>
      </w:r>
      <w:r>
        <w:rPr>
          <w:rFonts w:ascii="Arial" w:hAnsi="Arial" w:cs="Arial"/>
          <w:lang w:val="en-US" w:eastAsia="ko-KR"/>
        </w:rPr>
        <w:t xml:space="preserve">or concurrent gap, R4 has clear indicate the description in latest feature table [1]. One per UE capability is </w:t>
      </w:r>
      <w:r w:rsidR="00AD5574">
        <w:rPr>
          <w:rFonts w:ascii="Arial" w:hAnsi="Arial" w:cs="Arial"/>
          <w:lang w:val="en-US" w:eastAsia="ko-KR"/>
        </w:rPr>
        <w:t>sufficient</w:t>
      </w:r>
      <w:r>
        <w:rPr>
          <w:rFonts w:ascii="Arial" w:hAnsi="Arial" w:cs="Arial"/>
          <w:lang w:val="en-US" w:eastAsia="ko-KR"/>
        </w:rPr>
        <w:t>.</w:t>
      </w:r>
    </w:p>
    <w:p w14:paraId="4D1F046A" w14:textId="77777777" w:rsidR="001A3B34" w:rsidRDefault="001A3B34" w:rsidP="00766876">
      <w:pPr>
        <w:spacing w:after="0"/>
        <w:rPr>
          <w:rFonts w:ascii="Arial" w:hAnsi="Arial" w:cs="Arial"/>
          <w:lang w:val="en-US" w:eastAsia="ko-KR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4395"/>
        <w:gridCol w:w="1275"/>
        <w:gridCol w:w="1276"/>
      </w:tblGrid>
      <w:tr w:rsidR="001A3B34" w14:paraId="6BBA0AFB" w14:textId="77777777" w:rsidTr="004247FE">
        <w:trPr>
          <w:trHeight w:val="20"/>
        </w:trPr>
        <w:tc>
          <w:tcPr>
            <w:tcW w:w="1129" w:type="dxa"/>
            <w:shd w:val="clear" w:color="auto" w:fill="auto"/>
          </w:tcPr>
          <w:p w14:paraId="6D47C946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14:paraId="76016A0D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14:paraId="2F4E7D05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4395" w:type="dxa"/>
            <w:shd w:val="clear" w:color="auto" w:fill="auto"/>
          </w:tcPr>
          <w:p w14:paraId="711EEBE0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</w:tc>
        <w:tc>
          <w:tcPr>
            <w:tcW w:w="1275" w:type="dxa"/>
            <w:shd w:val="clear" w:color="auto" w:fill="auto"/>
          </w:tcPr>
          <w:p w14:paraId="4A4BE005" w14:textId="77777777" w:rsidR="001A3B34" w:rsidRDefault="001A3B34" w:rsidP="004247FE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</w:tc>
        <w:tc>
          <w:tcPr>
            <w:tcW w:w="1276" w:type="dxa"/>
            <w:shd w:val="clear" w:color="auto" w:fill="auto"/>
          </w:tcPr>
          <w:p w14:paraId="5BDDEC2B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1A3B34" w14:paraId="3D93A100" w14:textId="77777777" w:rsidTr="004247FE">
        <w:trPr>
          <w:trHeight w:val="2145"/>
        </w:trPr>
        <w:tc>
          <w:tcPr>
            <w:tcW w:w="1129" w:type="dxa"/>
            <w:shd w:val="clear" w:color="auto" w:fill="auto"/>
          </w:tcPr>
          <w:p w14:paraId="33DF9979" w14:textId="77777777" w:rsidR="001A3B34" w:rsidRDefault="001A3B34" w:rsidP="004247FE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19. </w:t>
            </w:r>
            <w:proofErr w:type="spellStart"/>
            <w:r w:rsidRPr="00B513B0">
              <w:rPr>
                <w:rFonts w:ascii="Arial" w:hAnsi="Arial" w:cs="Arial"/>
                <w:sz w:val="18"/>
                <w:szCs w:val="18"/>
              </w:rPr>
              <w:t>NR_MG_enh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240F8389" w14:textId="77777777" w:rsidR="001A3B34" w:rsidRPr="00C75D61" w:rsidRDefault="001A3B34" w:rsidP="004247FE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19-2</w:t>
            </w:r>
          </w:p>
        </w:tc>
        <w:tc>
          <w:tcPr>
            <w:tcW w:w="1559" w:type="dxa"/>
            <w:shd w:val="clear" w:color="auto" w:fill="auto"/>
          </w:tcPr>
          <w:p w14:paraId="0235EAAD" w14:textId="77777777" w:rsidR="001A3B34" w:rsidRPr="001033CD" w:rsidRDefault="001A3B34" w:rsidP="004247F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Concurrent measurement gaps</w:t>
            </w:r>
          </w:p>
        </w:tc>
        <w:tc>
          <w:tcPr>
            <w:tcW w:w="4395" w:type="dxa"/>
            <w:shd w:val="clear" w:color="auto" w:fill="auto"/>
          </w:tcPr>
          <w:p w14:paraId="6978A265" w14:textId="77777777" w:rsidR="001A3B34" w:rsidRPr="005115C5" w:rsidRDefault="001A3B34" w:rsidP="004247F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o     Support of more than 1 per-UE measurement gap configurations</w:t>
            </w:r>
          </w:p>
          <w:p w14:paraId="53FAFBB2" w14:textId="77777777" w:rsidR="001A3B34" w:rsidRPr="005115C5" w:rsidRDefault="001A3B34" w:rsidP="004247F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o     Support of more than 1 per-FR gap measurement gap configurations in an FR, or simultaneous 1 per-UE measurement gap plus 1 per-FR measurement gap configurations in an FR, or more than 1 per-UE measurement gap configurations for UE capable of Rel-15 per-FR gap (</w:t>
            </w:r>
            <w:proofErr w:type="spellStart"/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independentGapConfig</w:t>
            </w:r>
            <w:proofErr w:type="spellEnd"/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  <w:p w14:paraId="5E96C7EF" w14:textId="77777777" w:rsidR="001A3B34" w:rsidRPr="005115C5" w:rsidRDefault="001A3B34" w:rsidP="004247F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 xml:space="preserve">Note: The above 2 bullets are not 2 separate indications but a single indication with different interpretations, depending on the support of </w:t>
            </w:r>
            <w:proofErr w:type="spellStart"/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independentGapConfig</w:t>
            </w:r>
            <w:proofErr w:type="spellEnd"/>
            <w:r w:rsidRPr="005115C5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598107B8" w14:textId="77777777" w:rsidR="001A3B34" w:rsidRPr="001033CD" w:rsidRDefault="001A3B34" w:rsidP="004247F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per UE</w:t>
            </w:r>
          </w:p>
        </w:tc>
        <w:tc>
          <w:tcPr>
            <w:tcW w:w="1276" w:type="dxa"/>
            <w:shd w:val="clear" w:color="auto" w:fill="auto"/>
          </w:tcPr>
          <w:p w14:paraId="46120D43" w14:textId="77777777" w:rsidR="001A3B34" w:rsidRPr="001033CD" w:rsidRDefault="001A3B34" w:rsidP="004247FE">
            <w:pPr>
              <w:pStyle w:val="TAL"/>
              <w:keepNext w:val="0"/>
              <w:keepLines w:val="0"/>
              <w:rPr>
                <w:rFonts w:eastAsia="MS Gothic" w:cs="Arial"/>
                <w:szCs w:val="18"/>
                <w:lang w:eastAsia="ja-JP"/>
              </w:rPr>
            </w:pPr>
            <w:r>
              <w:rPr>
                <w:rFonts w:eastAsia="Microsoft YaHei UI" w:cs="Arial"/>
                <w:color w:val="000000"/>
                <w:szCs w:val="18"/>
              </w:rPr>
              <w:t>Optional with capability signalling</w:t>
            </w:r>
          </w:p>
        </w:tc>
      </w:tr>
    </w:tbl>
    <w:p w14:paraId="39F64D48" w14:textId="469B5918" w:rsidR="0004201C" w:rsidRDefault="0004201C" w:rsidP="00766876">
      <w:pPr>
        <w:spacing w:after="0"/>
        <w:rPr>
          <w:rFonts w:ascii="Arial" w:hAnsi="Arial" w:cs="Arial"/>
          <w:lang w:val="en-US" w:eastAsia="ko-KR"/>
        </w:rPr>
      </w:pPr>
    </w:p>
    <w:p w14:paraId="28E00B13" w14:textId="35345BBC" w:rsidR="001A3B34" w:rsidRPr="00F41B52" w:rsidRDefault="001A3B34" w:rsidP="001A3B34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 w:rsidR="00D22B19">
        <w:rPr>
          <w:rFonts w:cs="Arial"/>
          <w:b/>
        </w:rPr>
        <w:t>2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 xml:space="preserve">duce </w:t>
      </w:r>
      <w:r w:rsidR="00D87CCC">
        <w:rPr>
          <w:rFonts w:cs="Arial"/>
          <w:b/>
        </w:rPr>
        <w:t>one per UE optional capability for concurrent gap</w:t>
      </w:r>
      <w:r w:rsidR="0066340B">
        <w:rPr>
          <w:rFonts w:cs="Arial"/>
          <w:b/>
        </w:rPr>
        <w:t xml:space="preserve"> as descripted in RAN4 feature table 19-2</w:t>
      </w:r>
      <w:r w:rsidR="00D87CCC">
        <w:rPr>
          <w:rFonts w:cs="Arial"/>
          <w:b/>
        </w:rPr>
        <w:t>.</w:t>
      </w:r>
    </w:p>
    <w:p w14:paraId="7AEED6E0" w14:textId="37B64D7B" w:rsidR="0004201C" w:rsidRDefault="0004201C" w:rsidP="00766876">
      <w:pPr>
        <w:spacing w:after="0"/>
        <w:rPr>
          <w:rFonts w:ascii="Arial" w:hAnsi="Arial" w:cs="Arial"/>
          <w:lang w:val="en-US" w:eastAsia="ko-KR"/>
        </w:rPr>
      </w:pPr>
    </w:p>
    <w:p w14:paraId="60749702" w14:textId="15F3D767" w:rsidR="0004201C" w:rsidRPr="00B94288" w:rsidRDefault="0004201C" w:rsidP="0004201C">
      <w:pPr>
        <w:pStyle w:val="Heading2"/>
        <w:rPr>
          <w:lang w:val="en-US" w:eastAsia="ko-KR"/>
        </w:rPr>
      </w:pPr>
      <w:r>
        <w:rPr>
          <w:lang w:val="en-US" w:eastAsia="ko-KR"/>
        </w:rPr>
        <w:lastRenderedPageBreak/>
        <w:t xml:space="preserve">2.3 </w:t>
      </w:r>
      <w:r w:rsidR="000E632E">
        <w:rPr>
          <w:lang w:val="en-US" w:eastAsia="ko-KR"/>
        </w:rPr>
        <w:t>NCSG</w:t>
      </w:r>
    </w:p>
    <w:p w14:paraId="2EBF231D" w14:textId="435D42F9" w:rsidR="00B363DC" w:rsidRDefault="00B363DC" w:rsidP="00B363DC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F</w:t>
      </w:r>
      <w:r>
        <w:rPr>
          <w:rFonts w:ascii="Arial" w:hAnsi="Arial" w:cs="Arial"/>
          <w:lang w:val="en-US" w:eastAsia="ko-KR"/>
        </w:rPr>
        <w:t xml:space="preserve">or </w:t>
      </w:r>
      <w:r w:rsidR="00F6592F">
        <w:rPr>
          <w:rFonts w:ascii="Arial" w:hAnsi="Arial" w:cs="Arial"/>
          <w:lang w:val="en-US" w:eastAsia="ko-KR"/>
        </w:rPr>
        <w:t>NCSG</w:t>
      </w:r>
      <w:r>
        <w:rPr>
          <w:rFonts w:ascii="Arial" w:hAnsi="Arial" w:cs="Arial"/>
          <w:lang w:val="en-US" w:eastAsia="ko-KR"/>
        </w:rPr>
        <w:t xml:space="preserve">, </w:t>
      </w:r>
      <w:r w:rsidR="00F6592F">
        <w:rPr>
          <w:rFonts w:ascii="Arial" w:hAnsi="Arial" w:cs="Arial"/>
          <w:lang w:val="en-US" w:eastAsia="ko-KR"/>
        </w:rPr>
        <w:t>one baseline capability for supporting NCSG reporting is needed.</w:t>
      </w:r>
    </w:p>
    <w:p w14:paraId="41EBCC29" w14:textId="43115277" w:rsidR="0004201C" w:rsidRDefault="0004201C" w:rsidP="00766876">
      <w:pPr>
        <w:spacing w:after="0"/>
        <w:rPr>
          <w:rFonts w:ascii="Arial" w:hAnsi="Arial" w:cs="Arial"/>
          <w:lang w:val="en-US" w:eastAsia="ko-KR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9"/>
        <w:gridCol w:w="1559"/>
        <w:gridCol w:w="4395"/>
        <w:gridCol w:w="1275"/>
        <w:gridCol w:w="1276"/>
      </w:tblGrid>
      <w:tr w:rsidR="001A3B34" w14:paraId="541221B7" w14:textId="77777777" w:rsidTr="004247FE">
        <w:trPr>
          <w:trHeight w:val="20"/>
        </w:trPr>
        <w:tc>
          <w:tcPr>
            <w:tcW w:w="1129" w:type="dxa"/>
            <w:shd w:val="clear" w:color="auto" w:fill="auto"/>
          </w:tcPr>
          <w:p w14:paraId="01A92ADC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09" w:type="dxa"/>
            <w:shd w:val="clear" w:color="auto" w:fill="auto"/>
          </w:tcPr>
          <w:p w14:paraId="51DDF1E4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shd w:val="clear" w:color="auto" w:fill="auto"/>
          </w:tcPr>
          <w:p w14:paraId="4A95ABF8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4395" w:type="dxa"/>
            <w:shd w:val="clear" w:color="auto" w:fill="auto"/>
          </w:tcPr>
          <w:p w14:paraId="6AF31CDC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</w:tc>
        <w:tc>
          <w:tcPr>
            <w:tcW w:w="1275" w:type="dxa"/>
            <w:shd w:val="clear" w:color="auto" w:fill="auto"/>
          </w:tcPr>
          <w:p w14:paraId="0BA726FA" w14:textId="77777777" w:rsidR="001A3B34" w:rsidRDefault="001A3B34" w:rsidP="004247FE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</w:tc>
        <w:tc>
          <w:tcPr>
            <w:tcW w:w="1276" w:type="dxa"/>
            <w:shd w:val="clear" w:color="auto" w:fill="auto"/>
          </w:tcPr>
          <w:p w14:paraId="268EEC76" w14:textId="77777777" w:rsidR="001A3B34" w:rsidRDefault="001A3B34" w:rsidP="004247F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1A3B34" w14:paraId="3ACC99F2" w14:textId="77777777" w:rsidTr="00B363DC">
        <w:trPr>
          <w:trHeight w:val="785"/>
        </w:trPr>
        <w:tc>
          <w:tcPr>
            <w:tcW w:w="1129" w:type="dxa"/>
            <w:shd w:val="clear" w:color="auto" w:fill="auto"/>
          </w:tcPr>
          <w:p w14:paraId="56A441D2" w14:textId="77777777" w:rsidR="001A3B34" w:rsidRDefault="001A3B34" w:rsidP="004247FE">
            <w:pPr>
              <w:keepNext/>
              <w:keepLines/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19. </w:t>
            </w:r>
            <w:proofErr w:type="spellStart"/>
            <w:r w:rsidRPr="00B513B0">
              <w:rPr>
                <w:rFonts w:ascii="Arial" w:hAnsi="Arial" w:cs="Arial"/>
                <w:sz w:val="18"/>
                <w:szCs w:val="18"/>
              </w:rPr>
              <w:t>NR_MG_enh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67DF50B" w14:textId="77777777" w:rsidR="001A3B34" w:rsidRPr="00C75D61" w:rsidRDefault="001A3B34" w:rsidP="004247FE">
            <w:pPr>
              <w:keepNext/>
              <w:keepLines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19-1</w:t>
            </w:r>
          </w:p>
        </w:tc>
        <w:tc>
          <w:tcPr>
            <w:tcW w:w="1559" w:type="dxa"/>
            <w:shd w:val="clear" w:color="auto" w:fill="auto"/>
          </w:tcPr>
          <w:p w14:paraId="592EAC71" w14:textId="77777777" w:rsidR="001A3B34" w:rsidRPr="001033CD" w:rsidRDefault="001A3B34" w:rsidP="004247F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>Network controlled small gap (NCSG)</w:t>
            </w:r>
          </w:p>
        </w:tc>
        <w:tc>
          <w:tcPr>
            <w:tcW w:w="4395" w:type="dxa"/>
            <w:shd w:val="clear" w:color="auto" w:fill="auto"/>
          </w:tcPr>
          <w:p w14:paraId="6E9A5838" w14:textId="77777777" w:rsidR="001A3B34" w:rsidRPr="00E13E9F" w:rsidRDefault="001A3B34" w:rsidP="004247F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 xml:space="preserve">Support of NCSG </w:t>
            </w:r>
          </w:p>
        </w:tc>
        <w:tc>
          <w:tcPr>
            <w:tcW w:w="1275" w:type="dxa"/>
            <w:shd w:val="clear" w:color="auto" w:fill="auto"/>
          </w:tcPr>
          <w:p w14:paraId="32374F23" w14:textId="77777777" w:rsidR="001A3B34" w:rsidRPr="001033CD" w:rsidRDefault="001A3B34" w:rsidP="004247F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1033CD">
              <w:rPr>
                <w:rFonts w:ascii="Arial" w:hAnsi="Arial" w:cs="Arial"/>
                <w:sz w:val="18"/>
                <w:szCs w:val="18"/>
              </w:rPr>
              <w:t>per-UE</w:t>
            </w:r>
          </w:p>
        </w:tc>
        <w:tc>
          <w:tcPr>
            <w:tcW w:w="1276" w:type="dxa"/>
            <w:shd w:val="clear" w:color="auto" w:fill="auto"/>
          </w:tcPr>
          <w:p w14:paraId="0EE3AFAF" w14:textId="77777777" w:rsidR="001A3B34" w:rsidRPr="001033CD" w:rsidRDefault="001A3B34" w:rsidP="004247FE">
            <w:pPr>
              <w:pStyle w:val="TAL"/>
              <w:keepNext w:val="0"/>
              <w:keepLines w:val="0"/>
              <w:rPr>
                <w:rFonts w:eastAsia="MS Gothic" w:cs="Arial"/>
                <w:szCs w:val="18"/>
                <w:lang w:eastAsia="ja-JP"/>
              </w:rPr>
            </w:pPr>
            <w:r w:rsidRPr="001033CD">
              <w:rPr>
                <w:rFonts w:eastAsia="MS Gothic" w:cs="Arial"/>
                <w:szCs w:val="18"/>
                <w:lang w:eastAsia="ja-JP"/>
              </w:rPr>
              <w:t>Optional with capability signalling</w:t>
            </w:r>
          </w:p>
          <w:p w14:paraId="1A97560B" w14:textId="77777777" w:rsidR="001A3B34" w:rsidRPr="001033CD" w:rsidRDefault="001A3B34" w:rsidP="004247FE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958643" w14:textId="6019490D" w:rsidR="00EE32BA" w:rsidRDefault="00EE32BA" w:rsidP="00766876">
      <w:pPr>
        <w:spacing w:after="0"/>
        <w:rPr>
          <w:rFonts w:ascii="Arial" w:hAnsi="Arial" w:cs="Arial"/>
          <w:lang w:val="en-US" w:eastAsia="ko-KR"/>
        </w:rPr>
      </w:pPr>
    </w:p>
    <w:p w14:paraId="45146E7C" w14:textId="3CA1557F" w:rsidR="00F6592F" w:rsidRDefault="00DE5124" w:rsidP="00766876">
      <w:pPr>
        <w:spacing w:after="0"/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I</w:t>
      </w:r>
      <w:r>
        <w:rPr>
          <w:rFonts w:ascii="Arial" w:hAnsi="Arial" w:cs="Arial"/>
          <w:lang w:val="en-US" w:eastAsia="ko-KR"/>
        </w:rPr>
        <w:t xml:space="preserve">n addition, there is FFS on </w:t>
      </w:r>
      <w:r w:rsidR="00EF587E">
        <w:rPr>
          <w:rFonts w:ascii="Arial" w:hAnsi="Arial" w:cs="Arial"/>
          <w:lang w:val="en-US" w:eastAsia="ko-KR"/>
        </w:rPr>
        <w:t xml:space="preserve">how to define the capability of supporting of NCSG gap pattern. We believe RAN4 will provide more input on this and RAN2 could simply wait. </w:t>
      </w:r>
    </w:p>
    <w:p w14:paraId="3A631DE1" w14:textId="077E0C6B" w:rsidR="00DE5124" w:rsidRDefault="00DE5124" w:rsidP="00766876">
      <w:pPr>
        <w:spacing w:after="0"/>
        <w:rPr>
          <w:rFonts w:ascii="Arial" w:hAnsi="Arial" w:cs="Arial"/>
          <w:lang w:val="en-US" w:eastAsia="ko-KR"/>
        </w:rPr>
      </w:pPr>
    </w:p>
    <w:p w14:paraId="1FE681BE" w14:textId="77777777" w:rsidR="00DE5124" w:rsidRPr="00F31A12" w:rsidRDefault="00DE5124" w:rsidP="00DE5124">
      <w:pPr>
        <w:pStyle w:val="Agreement"/>
        <w:numPr>
          <w:ilvl w:val="0"/>
          <w:numId w:val="36"/>
        </w:numPr>
        <w:tabs>
          <w:tab w:val="clear" w:pos="2070"/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  <w:rPr>
          <w:rFonts w:ascii="Calibri" w:hAnsi="Calibri" w:cs="Calibri"/>
          <w:shd w:val="clear" w:color="auto" w:fill="FFFF00"/>
        </w:rPr>
      </w:pPr>
      <w:r>
        <w:t xml:space="preserve">FFS if  </w:t>
      </w:r>
      <w:r w:rsidRPr="00886105">
        <w:t>NCSG patterns corresponding to legacy patterns #0 and #1 are mandatorily supported if UE supports NCSG. And to further discuss UE capability between reporting an indicator of NCSG feature support and re</w:t>
      </w:r>
      <w:r>
        <w:t>porting supported NCSG patterns</w:t>
      </w:r>
    </w:p>
    <w:p w14:paraId="09AF29E2" w14:textId="77777777" w:rsidR="00DE5124" w:rsidRPr="00DE5124" w:rsidRDefault="00DE5124" w:rsidP="00766876">
      <w:pPr>
        <w:spacing w:after="0"/>
        <w:rPr>
          <w:rFonts w:ascii="Arial" w:hAnsi="Arial" w:cs="Arial"/>
          <w:lang w:eastAsia="ko-KR"/>
        </w:rPr>
      </w:pPr>
    </w:p>
    <w:p w14:paraId="6BA85BF5" w14:textId="616887BA" w:rsidR="00F6592F" w:rsidRPr="00F41B52" w:rsidRDefault="00F6592F" w:rsidP="00F6592F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 w:rsidR="00DE5124">
        <w:rPr>
          <w:rFonts w:cs="Arial"/>
          <w:b/>
        </w:rPr>
        <w:t>3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>duce one per UE optional capability for reporting</w:t>
      </w:r>
      <w:r w:rsidR="00DE5124">
        <w:rPr>
          <w:rFonts w:cs="Arial"/>
          <w:b/>
        </w:rPr>
        <w:t xml:space="preserve"> of NCSG gap requirement </w:t>
      </w:r>
      <w:r w:rsidR="00EF587E">
        <w:rPr>
          <w:rFonts w:cs="Arial"/>
          <w:b/>
        </w:rPr>
        <w:t>information</w:t>
      </w:r>
      <w:r>
        <w:rPr>
          <w:rFonts w:cs="Arial"/>
          <w:b/>
        </w:rPr>
        <w:t>.</w:t>
      </w:r>
      <w:r w:rsidR="00DE5124">
        <w:rPr>
          <w:rFonts w:cs="Arial"/>
          <w:b/>
        </w:rPr>
        <w:t xml:space="preserve"> Wait further R4 input on capability of NCSG gap patterns.</w:t>
      </w:r>
    </w:p>
    <w:p w14:paraId="2EC1CEBE" w14:textId="77777777" w:rsidR="00913607" w:rsidRPr="00DE5124" w:rsidRDefault="00913607" w:rsidP="00977B0B">
      <w:pPr>
        <w:spacing w:after="0"/>
        <w:rPr>
          <w:rFonts w:ascii="Arial" w:hAnsi="Arial" w:cs="Arial"/>
          <w:lang w:val="en-US" w:eastAsia="ko-KR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91275A0" w14:textId="77777777" w:rsidR="00AD5574" w:rsidRPr="00F41B52" w:rsidRDefault="00AD5574" w:rsidP="00AD5574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>
        <w:rPr>
          <w:rFonts w:cs="Arial"/>
          <w:b/>
        </w:rPr>
        <w:t>1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 xml:space="preserve">duce two optional per UE capability for pre-configured MG. One for pre-configured MG with </w:t>
      </w:r>
      <w:r w:rsidRPr="00DD0F3F">
        <w:rPr>
          <w:rFonts w:cs="Arial"/>
          <w:b/>
        </w:rPr>
        <w:t>NW-Controlled activation/deactivation mechanism</w:t>
      </w:r>
      <w:r>
        <w:rPr>
          <w:rFonts w:cs="Arial"/>
          <w:b/>
        </w:rPr>
        <w:t xml:space="preserve">. The other for pre-configured MG with </w:t>
      </w:r>
      <w:r w:rsidRPr="00DD0F3F">
        <w:rPr>
          <w:rFonts w:cs="Arial"/>
          <w:b/>
        </w:rPr>
        <w:t>UE autonomous activation/deactivation mechanism</w:t>
      </w:r>
      <w:r>
        <w:rPr>
          <w:rFonts w:cs="Arial"/>
          <w:b/>
        </w:rPr>
        <w:t>.</w:t>
      </w:r>
    </w:p>
    <w:p w14:paraId="6EBE6A58" w14:textId="3041B6C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00B9EFE6" w14:textId="77777777" w:rsidR="00BD00C8" w:rsidRPr="00F41B52" w:rsidRDefault="00BD00C8" w:rsidP="00BD00C8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>duce one per UE optional capability for concurrent gap as descripted in RAN4 feature table 19-2.</w:t>
      </w:r>
    </w:p>
    <w:p w14:paraId="640DCE8D" w14:textId="1E9D77E1" w:rsidR="00BD00C8" w:rsidRDefault="00BD00C8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755C5A9A" w14:textId="77777777" w:rsidR="00247432" w:rsidRPr="00F41B52" w:rsidRDefault="00247432" w:rsidP="00247432">
      <w:pPr>
        <w:pStyle w:val="Doc-text2"/>
        <w:tabs>
          <w:tab w:val="clear" w:pos="1622"/>
          <w:tab w:val="left" w:pos="340"/>
        </w:tabs>
        <w:ind w:left="0" w:firstLine="0"/>
        <w:jc w:val="both"/>
        <w:rPr>
          <w:rFonts w:eastAsia="SimSun" w:cs="Arial"/>
          <w:lang w:eastAsia="zh-CN"/>
        </w:rPr>
      </w:pPr>
      <w:r w:rsidRPr="00F41B52">
        <w:rPr>
          <w:rFonts w:cs="Arial"/>
          <w:b/>
        </w:rPr>
        <w:t xml:space="preserve">Proposal </w:t>
      </w:r>
      <w:r>
        <w:rPr>
          <w:rFonts w:cs="Arial"/>
          <w:b/>
        </w:rPr>
        <w:t>3</w:t>
      </w:r>
      <w:r w:rsidRPr="00F41B52">
        <w:rPr>
          <w:rFonts w:cs="Arial"/>
          <w:b/>
        </w:rPr>
        <w:t>: Intro</w:t>
      </w:r>
      <w:r>
        <w:rPr>
          <w:rFonts w:cs="Arial"/>
          <w:b/>
        </w:rPr>
        <w:t>duce one per UE optional capability for reporting of NCSG gap requirement information. Wait further R4 input on capability of NCSG gap patterns.</w:t>
      </w:r>
    </w:p>
    <w:p w14:paraId="1A0CBA86" w14:textId="77777777" w:rsidR="00247432" w:rsidRPr="00247432" w:rsidRDefault="00247432" w:rsidP="006215F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0B2CB1AF" w14:textId="1694574A" w:rsidR="00EF6B92" w:rsidRPr="00913607" w:rsidRDefault="006214DC" w:rsidP="0091360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410B819F" w14:textId="16809B31" w:rsidR="00CA4282" w:rsidRDefault="00913607" w:rsidP="00040F54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1] </w:t>
      </w:r>
      <w:r w:rsidR="00E40E3E" w:rsidRPr="00E40E3E">
        <w:rPr>
          <w:rFonts w:ascii="Arial" w:hAnsi="Arial" w:cs="Arial"/>
          <w:lang w:eastAsia="ko-KR"/>
        </w:rPr>
        <w:t>R4-2202400</w:t>
      </w:r>
      <w:r>
        <w:rPr>
          <w:rFonts w:ascii="Arial" w:hAnsi="Arial" w:cs="Arial"/>
          <w:lang w:eastAsia="ko-KR"/>
        </w:rPr>
        <w:t xml:space="preserve">, </w:t>
      </w:r>
      <w:r w:rsidR="00E40E3E">
        <w:rPr>
          <w:rFonts w:ascii="Arial" w:hAnsi="Arial" w:cs="Arial"/>
          <w:lang w:eastAsia="ko-KR"/>
        </w:rPr>
        <w:t>“</w:t>
      </w:r>
      <w:r w:rsidR="00E40E3E" w:rsidRPr="00085596">
        <w:rPr>
          <w:rFonts w:ascii="Arial" w:eastAsiaTheme="minorEastAsia" w:hAnsi="Arial" w:hint="eastAsia"/>
          <w:lang w:val="en-US" w:eastAsia="zh-CN"/>
        </w:rPr>
        <w:t>Rel-17 RAN4 UE</w:t>
      </w:r>
      <w:r w:rsidR="00E40E3E" w:rsidRPr="00085596">
        <w:rPr>
          <w:rFonts w:ascii="Arial" w:eastAsiaTheme="minorEastAsia" w:hAnsi="Arial"/>
          <w:lang w:val="en-US" w:eastAsia="zh-CN"/>
        </w:rPr>
        <w:t xml:space="preserve"> feature list </w:t>
      </w:r>
      <w:r w:rsidR="00E40E3E" w:rsidRPr="00085596">
        <w:rPr>
          <w:rFonts w:ascii="Arial" w:eastAsiaTheme="minorEastAsia" w:hAnsi="Arial" w:hint="eastAsia"/>
          <w:lang w:val="en-US" w:eastAsia="zh-CN"/>
        </w:rPr>
        <w:t>for NR</w:t>
      </w:r>
      <w:r w:rsidR="00E40E3E">
        <w:rPr>
          <w:rFonts w:ascii="Arial" w:hAnsi="Arial" w:cs="Arial"/>
          <w:lang w:eastAsia="ko-KR"/>
        </w:rPr>
        <w:t>”, RAN4</w:t>
      </w:r>
    </w:p>
    <w:p w14:paraId="15B4D9C5" w14:textId="41D520C0" w:rsidR="00175B3D" w:rsidRDefault="00175B3D" w:rsidP="00175B3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[</w:t>
      </w:r>
      <w:r>
        <w:rPr>
          <w:rFonts w:ascii="Arial" w:hAnsi="Arial" w:cs="Arial"/>
          <w:lang w:eastAsia="ko-KR"/>
        </w:rPr>
        <w:t xml:space="preserve">2] </w:t>
      </w:r>
      <w:r w:rsidRPr="00F90640">
        <w:rPr>
          <w:rFonts w:ascii="Arial" w:hAnsi="Arial" w:cs="Arial"/>
          <w:lang w:eastAsia="ko-KR"/>
        </w:rPr>
        <w:t>R4-2120302</w:t>
      </w:r>
      <w:r>
        <w:rPr>
          <w:rFonts w:ascii="Arial" w:hAnsi="Arial" w:cs="Arial"/>
          <w:lang w:eastAsia="ko-KR"/>
        </w:rPr>
        <w:t>, “</w:t>
      </w:r>
      <w:r w:rsidRPr="00F90640">
        <w:rPr>
          <w:rFonts w:ascii="Arial" w:hAnsi="Arial" w:cs="Arial"/>
          <w:lang w:eastAsia="ko-KR"/>
        </w:rPr>
        <w:t>LS on R17 NR MG enhancements – Pre-configured MG</w:t>
      </w:r>
      <w:r>
        <w:rPr>
          <w:rFonts w:ascii="Arial" w:hAnsi="Arial" w:cs="Arial"/>
          <w:lang w:eastAsia="ko-KR"/>
        </w:rPr>
        <w:t>”, RAN4</w:t>
      </w:r>
    </w:p>
    <w:p w14:paraId="6DF1E01B" w14:textId="7E4FFAA7" w:rsidR="00CA4282" w:rsidRPr="00175B3D" w:rsidRDefault="00CA4282" w:rsidP="00CA4282">
      <w:pPr>
        <w:spacing w:after="0"/>
        <w:rPr>
          <w:rFonts w:ascii="Arial" w:hAnsi="Arial" w:cs="Arial"/>
          <w:lang w:eastAsia="ko-KR"/>
        </w:rPr>
      </w:pPr>
    </w:p>
    <w:p w14:paraId="5D4FCE01" w14:textId="599EE796" w:rsidR="007410F2" w:rsidRDefault="007410F2" w:rsidP="00CA4282">
      <w:pPr>
        <w:spacing w:after="0"/>
        <w:rPr>
          <w:rFonts w:ascii="Arial" w:hAnsi="Arial" w:cs="Arial"/>
          <w:lang w:eastAsia="ko-KR"/>
        </w:rPr>
      </w:pPr>
    </w:p>
    <w:p w14:paraId="40273C8F" w14:textId="3C4B1656" w:rsidR="007410F2" w:rsidRDefault="007410F2" w:rsidP="00CA4282">
      <w:pPr>
        <w:spacing w:after="0"/>
        <w:rPr>
          <w:rFonts w:ascii="Arial" w:hAnsi="Arial" w:cs="Arial"/>
          <w:lang w:eastAsia="ko-KR"/>
        </w:rPr>
      </w:pPr>
    </w:p>
    <w:p w14:paraId="27A4B9A9" w14:textId="77777777" w:rsidR="007410F2" w:rsidRDefault="007410F2" w:rsidP="00CA4282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7410F2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33AA3" w14:textId="77777777" w:rsidR="007F11FD" w:rsidRDefault="007F11FD">
      <w:r>
        <w:separator/>
      </w:r>
    </w:p>
  </w:endnote>
  <w:endnote w:type="continuationSeparator" w:id="0">
    <w:p w14:paraId="396A7188" w14:textId="77777777" w:rsidR="007F11FD" w:rsidRDefault="007F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78237" w14:textId="77777777" w:rsidR="007F11FD" w:rsidRDefault="007F11FD">
      <w:r>
        <w:separator/>
      </w:r>
    </w:p>
  </w:footnote>
  <w:footnote w:type="continuationSeparator" w:id="0">
    <w:p w14:paraId="40CB548F" w14:textId="77777777" w:rsidR="007F11FD" w:rsidRDefault="007F1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6"/>
  </w:num>
  <w:num w:numId="16">
    <w:abstractNumId w:val="35"/>
  </w:num>
  <w:num w:numId="17">
    <w:abstractNumId w:val="45"/>
  </w:num>
  <w:num w:numId="18">
    <w:abstractNumId w:val="24"/>
  </w:num>
  <w:num w:numId="19">
    <w:abstractNumId w:val="15"/>
  </w:num>
  <w:num w:numId="20">
    <w:abstractNumId w:val="43"/>
  </w:num>
  <w:num w:numId="21">
    <w:abstractNumId w:val="34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2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1"/>
  </w:num>
  <w:num w:numId="45">
    <w:abstractNumId w:val="22"/>
  </w:num>
  <w:num w:numId="46">
    <w:abstractNumId w:val="38"/>
  </w:num>
  <w:num w:numId="47">
    <w:abstractNumId w:val="8"/>
  </w:num>
  <w:num w:numId="48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0F54"/>
    <w:rsid w:val="00041034"/>
    <w:rsid w:val="00041085"/>
    <w:rsid w:val="0004201C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5D2B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32E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250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B3D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B34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4C1D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A71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47432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431C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6B8E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9AE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145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0AB7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7AB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057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40B"/>
    <w:rsid w:val="00663ADF"/>
    <w:rsid w:val="006642D9"/>
    <w:rsid w:val="006647D0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6E20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49D9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0F2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876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DF9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1FD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64B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607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B0B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7C4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574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38E7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3DC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0C8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2B19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1C5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87CCC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0F3F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4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0E3E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B3A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1751"/>
    <w:rsid w:val="00EE27CF"/>
    <w:rsid w:val="00EE32BA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87E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92F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qFormat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qFormat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DE5124"/>
    <w:pPr>
      <w:tabs>
        <w:tab w:val="num" w:pos="1619"/>
        <w:tab w:val="num" w:pos="9990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60</cp:revision>
  <dcterms:created xsi:type="dcterms:W3CDTF">2017-04-13T02:23:00Z</dcterms:created>
  <dcterms:modified xsi:type="dcterms:W3CDTF">2022-02-14T03:29:00Z</dcterms:modified>
</cp:coreProperties>
</file>